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51" w:rsidRPr="00FE70B6" w:rsidRDefault="003D1F51" w:rsidP="003D1F51">
      <w:pPr>
        <w:spacing w:after="0" w:line="240" w:lineRule="auto"/>
        <w:jc w:val="center"/>
        <w:rPr>
          <w:rFonts w:cs="Times New Roman"/>
          <w:b/>
          <w:noProof/>
          <w:sz w:val="24"/>
          <w:szCs w:val="24"/>
        </w:rPr>
      </w:pPr>
      <w:bookmarkStart w:id="0" w:name="_GoBack"/>
      <w:bookmarkEnd w:id="0"/>
    </w:p>
    <w:p w:rsidR="00BB09C0" w:rsidRDefault="00BB09C0" w:rsidP="002E046B">
      <w:pPr>
        <w:spacing w:after="0" w:line="240" w:lineRule="auto"/>
        <w:jc w:val="center"/>
        <w:rPr>
          <w:rFonts w:cs="Times New Roman"/>
          <w:b/>
          <w:noProof/>
          <w:sz w:val="32"/>
          <w:szCs w:val="24"/>
        </w:rPr>
      </w:pPr>
      <w:r w:rsidRPr="00BB09C0">
        <w:rPr>
          <w:rFonts w:cs="Times New Roman"/>
          <w:b/>
          <w:noProof/>
          <w:sz w:val="32"/>
          <w:szCs w:val="24"/>
        </w:rPr>
        <w:t>SAHA, Dhaka Art Summit kapsamında,</w:t>
      </w:r>
    </w:p>
    <w:p w:rsidR="00BB09C0" w:rsidRDefault="00BB09C0" w:rsidP="002E046B">
      <w:pPr>
        <w:spacing w:after="0" w:line="240" w:lineRule="auto"/>
        <w:jc w:val="center"/>
        <w:rPr>
          <w:rFonts w:cs="Times New Roman"/>
          <w:b/>
          <w:noProof/>
          <w:sz w:val="32"/>
          <w:szCs w:val="24"/>
        </w:rPr>
      </w:pPr>
      <w:r w:rsidRPr="00BB09C0">
        <w:t xml:space="preserve"> </w:t>
      </w:r>
      <w:r w:rsidRPr="00BB09C0">
        <w:rPr>
          <w:rFonts w:cs="Times New Roman"/>
          <w:b/>
          <w:noProof/>
          <w:sz w:val="32"/>
          <w:szCs w:val="24"/>
        </w:rPr>
        <w:t>Hera Büyüktaşçıyan’ın</w:t>
      </w:r>
      <w:r w:rsidR="00C4302C">
        <w:rPr>
          <w:rFonts w:cs="Times New Roman"/>
          <w:b/>
          <w:noProof/>
          <w:sz w:val="32"/>
          <w:szCs w:val="24"/>
        </w:rPr>
        <w:t xml:space="preserve"> </w:t>
      </w:r>
      <w:r w:rsidRPr="00BB09C0">
        <w:rPr>
          <w:rFonts w:cs="Times New Roman"/>
          <w:b/>
          <w:noProof/>
          <w:sz w:val="32"/>
          <w:szCs w:val="24"/>
        </w:rPr>
        <w:t>yeni eser üretimine destek verdi</w:t>
      </w:r>
      <w:r w:rsidR="00B33AC8">
        <w:rPr>
          <w:rFonts w:cs="Times New Roman"/>
          <w:b/>
          <w:noProof/>
          <w:sz w:val="32"/>
          <w:szCs w:val="24"/>
        </w:rPr>
        <w:t>.</w:t>
      </w:r>
    </w:p>
    <w:p w:rsidR="00BD3578" w:rsidRPr="00FE70B6" w:rsidRDefault="00BD3578" w:rsidP="003D1F51">
      <w:pPr>
        <w:shd w:val="clear" w:color="auto" w:fill="FFFFFF"/>
        <w:spacing w:after="0" w:line="240" w:lineRule="auto"/>
        <w:rPr>
          <w:rFonts w:eastAsia="Times New Roman" w:cs="Helvetica"/>
          <w:noProof/>
          <w:color w:val="000000"/>
          <w:szCs w:val="24"/>
          <w:lang w:eastAsia="tr-TR"/>
        </w:rPr>
      </w:pPr>
    </w:p>
    <w:p w:rsidR="005D7F7E" w:rsidRDefault="005D7F7E" w:rsidP="003D1F51">
      <w:pPr>
        <w:shd w:val="clear" w:color="auto" w:fill="FFFFFF"/>
        <w:spacing w:after="0" w:line="240" w:lineRule="auto"/>
        <w:rPr>
          <w:rFonts w:eastAsia="Times New Roman" w:cs="Helvetica"/>
          <w:noProof/>
          <w:color w:val="000000"/>
          <w:szCs w:val="24"/>
          <w:lang w:eastAsia="tr-TR"/>
        </w:rPr>
      </w:pPr>
    </w:p>
    <w:p w:rsidR="005D7F7E" w:rsidRDefault="005D7F7E" w:rsidP="005D7F7E">
      <w:pPr>
        <w:shd w:val="clear" w:color="auto" w:fill="FFFFFF"/>
        <w:spacing w:after="0" w:line="240" w:lineRule="auto"/>
        <w:rPr>
          <w:rFonts w:eastAsia="Times New Roman" w:cs="Helvetica"/>
          <w:noProof/>
          <w:color w:val="000000"/>
          <w:szCs w:val="24"/>
          <w:lang w:eastAsia="tr-TR"/>
        </w:rPr>
      </w:pPr>
      <w:r w:rsidRPr="005D7F7E">
        <w:rPr>
          <w:rFonts w:eastAsia="Times New Roman" w:cs="Helvetica"/>
          <w:noProof/>
          <w:color w:val="000000"/>
          <w:szCs w:val="24"/>
          <w:lang w:eastAsia="tr-TR"/>
        </w:rPr>
        <w:t xml:space="preserve">SAHA, </w:t>
      </w:r>
      <w:r w:rsidR="00B33AC8">
        <w:rPr>
          <w:rFonts w:eastAsia="Times New Roman" w:cs="Helvetica"/>
          <w:noProof/>
          <w:color w:val="000000"/>
          <w:szCs w:val="24"/>
          <w:lang w:eastAsia="tr-TR"/>
        </w:rPr>
        <w:t xml:space="preserve">Bangladeş’te gerçekleştirilen </w:t>
      </w:r>
      <w:r w:rsidRPr="005D7F7E">
        <w:rPr>
          <w:rFonts w:eastAsia="Times New Roman" w:cs="Helvetica"/>
          <w:noProof/>
          <w:color w:val="000000"/>
          <w:szCs w:val="24"/>
          <w:lang w:eastAsia="tr-TR"/>
        </w:rPr>
        <w:t>Dhaka Art Summit kapsamında</w:t>
      </w:r>
      <w:r>
        <w:rPr>
          <w:rFonts w:eastAsia="Times New Roman" w:cs="Helvetica"/>
          <w:noProof/>
          <w:color w:val="000000"/>
          <w:szCs w:val="24"/>
          <w:lang w:eastAsia="tr-TR"/>
        </w:rPr>
        <w:t>, 2</w:t>
      </w:r>
      <w:r w:rsidR="001F63D1" w:rsidRPr="001F63D1">
        <w:rPr>
          <w:rFonts w:eastAsia="Times New Roman" w:cs="Helvetica"/>
          <w:noProof/>
          <w:color w:val="000000"/>
          <w:szCs w:val="24"/>
          <w:lang w:eastAsia="tr-TR"/>
        </w:rPr>
        <w:t>–</w:t>
      </w:r>
      <w:r>
        <w:rPr>
          <w:rFonts w:eastAsia="Times New Roman" w:cs="Helvetica"/>
          <w:noProof/>
          <w:color w:val="000000"/>
          <w:szCs w:val="24"/>
          <w:lang w:eastAsia="tr-TR"/>
        </w:rPr>
        <w:t>10 Şubat tarihlerinde</w:t>
      </w:r>
      <w:r w:rsidRPr="005D7F7E">
        <w:rPr>
          <w:rFonts w:eastAsia="Times New Roman" w:cs="Helvetica"/>
          <w:noProof/>
          <w:color w:val="000000"/>
          <w:szCs w:val="24"/>
          <w:lang w:eastAsia="tr-TR"/>
        </w:rPr>
        <w:t xml:space="preserve"> düzenlenen “Planetary Planning” adlı sergiye davet edilen Hera Büyüktaşçıyan’ın yeni eser üretimine destek verdi.</w:t>
      </w:r>
      <w:r w:rsidR="00B33AC8">
        <w:rPr>
          <w:rFonts w:eastAsia="Times New Roman" w:cs="Helvetica"/>
          <w:noProof/>
          <w:color w:val="000000"/>
          <w:szCs w:val="24"/>
          <w:lang w:eastAsia="tr-TR"/>
        </w:rPr>
        <w:t xml:space="preserve"> M</w:t>
      </w:r>
      <w:r w:rsidRPr="005D7F7E">
        <w:rPr>
          <w:rFonts w:eastAsia="Times New Roman" w:cs="Helvetica"/>
          <w:noProof/>
          <w:color w:val="000000"/>
          <w:szCs w:val="24"/>
          <w:lang w:eastAsia="tr-TR"/>
        </w:rPr>
        <w:t>imar ve tasarımcı Buckminster Fuller tarafından</w:t>
      </w:r>
      <w:r w:rsidR="00B33AC8">
        <w:rPr>
          <w:rFonts w:eastAsia="Times New Roman" w:cs="Helvetica"/>
          <w:noProof/>
          <w:color w:val="000000"/>
          <w:szCs w:val="24"/>
          <w:lang w:eastAsia="tr-TR"/>
        </w:rPr>
        <w:t>,</w:t>
      </w:r>
      <w:r w:rsidRPr="005D7F7E">
        <w:rPr>
          <w:rFonts w:eastAsia="Times New Roman" w:cs="Helvetica"/>
          <w:noProof/>
          <w:color w:val="000000"/>
          <w:szCs w:val="24"/>
          <w:lang w:eastAsia="tr-TR"/>
        </w:rPr>
        <w:t xml:space="preserve"> </w:t>
      </w:r>
      <w:r w:rsidR="00B33AC8" w:rsidRPr="005D7F7E">
        <w:rPr>
          <w:rFonts w:eastAsia="Times New Roman" w:cs="Helvetica"/>
          <w:noProof/>
          <w:color w:val="000000"/>
          <w:szCs w:val="24"/>
          <w:lang w:eastAsia="tr-TR"/>
        </w:rPr>
        <w:t xml:space="preserve">1969 yılında </w:t>
      </w:r>
      <w:r w:rsidRPr="005D7F7E">
        <w:rPr>
          <w:rFonts w:eastAsia="Times New Roman" w:cs="Helvetica"/>
          <w:noProof/>
          <w:color w:val="000000"/>
          <w:szCs w:val="24"/>
          <w:lang w:eastAsia="tr-TR"/>
        </w:rPr>
        <w:t>Delhi’de Nehru anıtı</w:t>
      </w:r>
      <w:r w:rsidR="00B33AC8">
        <w:rPr>
          <w:rFonts w:eastAsia="Times New Roman" w:cs="Helvetica"/>
          <w:noProof/>
          <w:color w:val="000000"/>
          <w:szCs w:val="24"/>
          <w:lang w:eastAsia="tr-TR"/>
        </w:rPr>
        <w:t>yla</w:t>
      </w:r>
      <w:r w:rsidRPr="005D7F7E">
        <w:rPr>
          <w:rFonts w:eastAsia="Times New Roman" w:cs="Helvetica"/>
          <w:noProof/>
          <w:color w:val="000000"/>
          <w:szCs w:val="24"/>
          <w:lang w:eastAsia="tr-TR"/>
        </w:rPr>
        <w:t xml:space="preserve"> ilgili düzenlenen “Planetary Planning” adlı konferansı çıkış noktası olarak a</w:t>
      </w:r>
      <w:r>
        <w:rPr>
          <w:rFonts w:eastAsia="Times New Roman" w:cs="Helvetica"/>
          <w:noProof/>
          <w:color w:val="000000"/>
          <w:szCs w:val="24"/>
          <w:lang w:eastAsia="tr-TR"/>
        </w:rPr>
        <w:t>lan s</w:t>
      </w:r>
      <w:r w:rsidRPr="005D7F7E">
        <w:rPr>
          <w:rFonts w:eastAsia="Times New Roman" w:cs="Helvetica"/>
          <w:noProof/>
          <w:color w:val="000000"/>
          <w:szCs w:val="24"/>
          <w:lang w:eastAsia="tr-TR"/>
        </w:rPr>
        <w:t>ergi, 60’lardan bu yana üç</w:t>
      </w:r>
      <w:r>
        <w:rPr>
          <w:rFonts w:eastAsia="Times New Roman" w:cs="Helvetica"/>
          <w:noProof/>
          <w:color w:val="000000"/>
          <w:szCs w:val="24"/>
          <w:lang w:eastAsia="tr-TR"/>
        </w:rPr>
        <w:t xml:space="preserve"> nesilden sanatçının Güney Asya</w:t>
      </w:r>
      <w:r w:rsidRPr="005D7F7E">
        <w:rPr>
          <w:rFonts w:eastAsia="Times New Roman" w:cs="Helvetica"/>
          <w:noProof/>
          <w:color w:val="000000"/>
          <w:szCs w:val="24"/>
          <w:lang w:eastAsia="tr-TR"/>
        </w:rPr>
        <w:t xml:space="preserve"> ve çevresindeki küreselleşmeye dair görüşlerini incel</w:t>
      </w:r>
      <w:r>
        <w:rPr>
          <w:rFonts w:eastAsia="Times New Roman" w:cs="Helvetica"/>
          <w:noProof/>
          <w:color w:val="000000"/>
          <w:szCs w:val="24"/>
          <w:lang w:eastAsia="tr-TR"/>
        </w:rPr>
        <w:t>iyor.</w:t>
      </w:r>
    </w:p>
    <w:p w:rsidR="00C4302C" w:rsidRPr="005D7F7E" w:rsidRDefault="00C4302C" w:rsidP="005D7F7E">
      <w:pPr>
        <w:shd w:val="clear" w:color="auto" w:fill="FFFFFF"/>
        <w:spacing w:after="0" w:line="240" w:lineRule="auto"/>
        <w:rPr>
          <w:rFonts w:eastAsia="Times New Roman" w:cs="Helvetica"/>
          <w:noProof/>
          <w:color w:val="000000"/>
          <w:szCs w:val="24"/>
          <w:lang w:eastAsia="tr-TR"/>
        </w:rPr>
      </w:pPr>
    </w:p>
    <w:p w:rsidR="00B33AC8" w:rsidRDefault="00BB09C0" w:rsidP="005D7F7E">
      <w:pPr>
        <w:shd w:val="clear" w:color="auto" w:fill="FFFFFF"/>
        <w:spacing w:after="0" w:line="240" w:lineRule="auto"/>
        <w:rPr>
          <w:rFonts w:eastAsia="Times New Roman" w:cs="Helvetica"/>
          <w:noProof/>
          <w:color w:val="000000"/>
          <w:szCs w:val="24"/>
          <w:lang w:eastAsia="tr-TR"/>
        </w:rPr>
      </w:pPr>
      <w:r w:rsidRPr="00BB09C0">
        <w:rPr>
          <w:rFonts w:eastAsia="Times New Roman" w:cs="Helvetica"/>
          <w:noProof/>
          <w:color w:val="000000"/>
          <w:szCs w:val="24"/>
          <w:lang w:eastAsia="tr-TR"/>
        </w:rPr>
        <w:t>Amie Siegel, Ayesha Sultana, Buckminster Fuller, Desmond Lazaro, Hera Büyüktaşçıyan, Isamu Noguchi, Lala Rukh, Mohammad Kibria, Muzharul Islam, Novera Ahmed,</w:t>
      </w:r>
      <w:r>
        <w:rPr>
          <w:rFonts w:eastAsia="Times New Roman" w:cs="Helvetica"/>
          <w:noProof/>
          <w:color w:val="000000"/>
          <w:szCs w:val="24"/>
          <w:lang w:eastAsia="tr-TR"/>
        </w:rPr>
        <w:t xml:space="preserve"> Seher Shah ve Zarina Hashmi’nin eserlerinin yer aldığı “Planetary Planning”</w:t>
      </w:r>
      <w:r w:rsidR="00B33AC8">
        <w:rPr>
          <w:rFonts w:eastAsia="Times New Roman" w:cs="Helvetica"/>
          <w:noProof/>
          <w:color w:val="000000"/>
          <w:szCs w:val="24"/>
          <w:lang w:eastAsia="tr-TR"/>
        </w:rPr>
        <w:t>;</w:t>
      </w:r>
      <w:r w:rsidR="005D7F7E" w:rsidRPr="005D7F7E">
        <w:rPr>
          <w:rFonts w:eastAsia="Times New Roman" w:cs="Helvetica"/>
          <w:noProof/>
          <w:color w:val="000000"/>
          <w:szCs w:val="24"/>
          <w:lang w:eastAsia="tr-TR"/>
        </w:rPr>
        <w:t xml:space="preserve"> 1960’</w:t>
      </w:r>
      <w:r>
        <w:rPr>
          <w:rFonts w:eastAsia="Times New Roman" w:cs="Helvetica"/>
          <w:noProof/>
          <w:color w:val="000000"/>
          <w:szCs w:val="24"/>
          <w:lang w:eastAsia="tr-TR"/>
        </w:rPr>
        <w:t>lar ve</w:t>
      </w:r>
      <w:r w:rsidR="005D7F7E" w:rsidRPr="005D7F7E">
        <w:rPr>
          <w:rFonts w:eastAsia="Times New Roman" w:cs="Helvetica"/>
          <w:noProof/>
          <w:color w:val="000000"/>
          <w:szCs w:val="24"/>
          <w:lang w:eastAsia="tr-TR"/>
        </w:rPr>
        <w:t xml:space="preserve"> sonrası</w:t>
      </w:r>
      <w:r w:rsidR="00B33AC8">
        <w:rPr>
          <w:rFonts w:eastAsia="Times New Roman" w:cs="Helvetica"/>
          <w:noProof/>
          <w:color w:val="000000"/>
          <w:szCs w:val="24"/>
          <w:lang w:eastAsia="tr-TR"/>
        </w:rPr>
        <w:t>nda</w:t>
      </w:r>
      <w:r>
        <w:rPr>
          <w:rFonts w:eastAsia="Times New Roman" w:cs="Helvetica"/>
          <w:noProof/>
          <w:color w:val="000000"/>
          <w:szCs w:val="24"/>
          <w:lang w:eastAsia="tr-TR"/>
        </w:rPr>
        <w:t>,</w:t>
      </w:r>
      <w:r w:rsidR="005D7F7E" w:rsidRPr="005D7F7E">
        <w:rPr>
          <w:rFonts w:eastAsia="Times New Roman" w:cs="Helvetica"/>
          <w:noProof/>
          <w:color w:val="000000"/>
          <w:szCs w:val="24"/>
          <w:lang w:eastAsia="tr-TR"/>
        </w:rPr>
        <w:t xml:space="preserve"> sanatçıların sabit kimlikler</w:t>
      </w:r>
      <w:r w:rsidR="00B33AC8">
        <w:rPr>
          <w:rFonts w:eastAsia="Times New Roman" w:cs="Helvetica"/>
          <w:noProof/>
          <w:color w:val="000000"/>
          <w:szCs w:val="24"/>
          <w:lang w:eastAsia="tr-TR"/>
        </w:rPr>
        <w:t>e</w:t>
      </w:r>
      <w:r w:rsidR="005D7F7E" w:rsidRPr="005D7F7E">
        <w:rPr>
          <w:rFonts w:eastAsia="Times New Roman" w:cs="Helvetica"/>
          <w:noProof/>
          <w:color w:val="000000"/>
          <w:szCs w:val="24"/>
          <w:lang w:eastAsia="tr-TR"/>
        </w:rPr>
        <w:t xml:space="preserve"> ve buna bağlı olarak doğuştan varlığını sürdüren hiyerarşi kavramlarına nasıl meydan okuduğunu araştırıyor. Tasarım ve mimarlığın dili</w:t>
      </w:r>
      <w:r w:rsidR="00B33AC8">
        <w:rPr>
          <w:rFonts w:eastAsia="Times New Roman" w:cs="Helvetica"/>
          <w:noProof/>
          <w:color w:val="000000"/>
          <w:szCs w:val="24"/>
          <w:lang w:eastAsia="tr-TR"/>
        </w:rPr>
        <w:t>,</w:t>
      </w:r>
      <w:r w:rsidR="005D7F7E" w:rsidRPr="005D7F7E">
        <w:rPr>
          <w:rFonts w:eastAsia="Times New Roman" w:cs="Helvetica"/>
          <w:noProof/>
          <w:color w:val="000000"/>
          <w:szCs w:val="24"/>
          <w:lang w:eastAsia="tr-TR"/>
        </w:rPr>
        <w:t xml:space="preserve"> bu süreç içerisinde önemli bir rol </w:t>
      </w:r>
      <w:r w:rsidR="00B33AC8">
        <w:rPr>
          <w:rFonts w:eastAsia="Times New Roman" w:cs="Helvetica"/>
          <w:noProof/>
          <w:color w:val="000000"/>
          <w:szCs w:val="24"/>
          <w:lang w:eastAsia="tr-TR"/>
        </w:rPr>
        <w:t>oynuyor</w:t>
      </w:r>
      <w:r w:rsidR="005D7F7E" w:rsidRPr="005D7F7E">
        <w:rPr>
          <w:rFonts w:eastAsia="Times New Roman" w:cs="Helvetica"/>
          <w:noProof/>
          <w:color w:val="000000"/>
          <w:szCs w:val="24"/>
          <w:lang w:eastAsia="tr-TR"/>
        </w:rPr>
        <w:t xml:space="preserve">. </w:t>
      </w:r>
    </w:p>
    <w:p w:rsidR="00B33AC8" w:rsidRDefault="00B33AC8" w:rsidP="005D7F7E">
      <w:pPr>
        <w:shd w:val="clear" w:color="auto" w:fill="FFFFFF"/>
        <w:spacing w:after="0" w:line="240" w:lineRule="auto"/>
        <w:rPr>
          <w:rFonts w:eastAsia="Times New Roman" w:cs="Helvetica"/>
          <w:noProof/>
          <w:color w:val="000000"/>
          <w:szCs w:val="24"/>
          <w:lang w:eastAsia="tr-TR"/>
        </w:rPr>
      </w:pPr>
    </w:p>
    <w:p w:rsidR="005D7F7E" w:rsidRPr="005D7F7E" w:rsidRDefault="005D7F7E" w:rsidP="005D7F7E">
      <w:pPr>
        <w:shd w:val="clear" w:color="auto" w:fill="FFFFFF"/>
        <w:spacing w:after="0" w:line="240" w:lineRule="auto"/>
        <w:rPr>
          <w:rFonts w:eastAsia="Times New Roman" w:cs="Helvetica"/>
          <w:noProof/>
          <w:color w:val="000000"/>
          <w:szCs w:val="24"/>
          <w:lang w:eastAsia="tr-TR"/>
        </w:rPr>
      </w:pPr>
      <w:r w:rsidRPr="005D7F7E">
        <w:rPr>
          <w:rFonts w:eastAsia="Times New Roman" w:cs="Helvetica"/>
          <w:noProof/>
          <w:color w:val="000000"/>
          <w:szCs w:val="24"/>
          <w:lang w:eastAsia="tr-TR"/>
        </w:rPr>
        <w:t>Eserleri sergilenen sanatçılardan bir kısmı</w:t>
      </w:r>
      <w:r w:rsidR="00B33AC8">
        <w:rPr>
          <w:rFonts w:eastAsia="Times New Roman" w:cs="Helvetica"/>
          <w:noProof/>
          <w:color w:val="000000"/>
          <w:szCs w:val="24"/>
          <w:lang w:eastAsia="tr-TR"/>
        </w:rPr>
        <w:t>,</w:t>
      </w:r>
      <w:r w:rsidRPr="005D7F7E">
        <w:rPr>
          <w:rFonts w:eastAsia="Times New Roman" w:cs="Helvetica"/>
          <w:noProof/>
          <w:color w:val="000000"/>
          <w:szCs w:val="24"/>
          <w:lang w:eastAsia="tr-TR"/>
        </w:rPr>
        <w:t xml:space="preserve"> mimarlığı mekân taşıyıcı ve dünyevi bağlantılar taşıma olasılığını gösteren bir dil olarak tasarlarken, diğerler</w:t>
      </w:r>
      <w:r w:rsidR="00BB09C0">
        <w:rPr>
          <w:rFonts w:eastAsia="Times New Roman" w:cs="Helvetica"/>
          <w:noProof/>
          <w:color w:val="000000"/>
          <w:szCs w:val="24"/>
          <w:lang w:eastAsia="tr-TR"/>
        </w:rPr>
        <w:t xml:space="preserve">iyse </w:t>
      </w:r>
      <w:r w:rsidRPr="005D7F7E">
        <w:rPr>
          <w:rFonts w:eastAsia="Times New Roman" w:cs="Helvetica"/>
          <w:noProof/>
          <w:color w:val="000000"/>
          <w:szCs w:val="24"/>
          <w:lang w:eastAsia="tr-TR"/>
        </w:rPr>
        <w:t>benzer endişeleri ifade etmek için çizim</w:t>
      </w:r>
      <w:r w:rsidR="00BB09C0">
        <w:rPr>
          <w:rFonts w:eastAsia="Times New Roman" w:cs="Helvetica"/>
          <w:noProof/>
          <w:color w:val="000000"/>
          <w:szCs w:val="24"/>
          <w:lang w:eastAsia="tr-TR"/>
        </w:rPr>
        <w:t>i</w:t>
      </w:r>
      <w:r w:rsidRPr="005D7F7E">
        <w:rPr>
          <w:rFonts w:eastAsia="Times New Roman" w:cs="Helvetica"/>
          <w:noProof/>
          <w:color w:val="000000"/>
          <w:szCs w:val="24"/>
          <w:lang w:eastAsia="tr-TR"/>
        </w:rPr>
        <w:t xml:space="preserve"> ve diğer </w:t>
      </w:r>
      <w:r w:rsidR="00BB09C0">
        <w:rPr>
          <w:rFonts w:eastAsia="Times New Roman" w:cs="Helvetica"/>
          <w:noProof/>
          <w:color w:val="000000"/>
          <w:szCs w:val="24"/>
          <w:lang w:eastAsia="tr-TR"/>
        </w:rPr>
        <w:t>araçları</w:t>
      </w:r>
      <w:r w:rsidRPr="005D7F7E">
        <w:rPr>
          <w:rFonts w:eastAsia="Times New Roman" w:cs="Helvetica"/>
          <w:noProof/>
          <w:color w:val="000000"/>
          <w:szCs w:val="24"/>
          <w:lang w:eastAsia="tr-TR"/>
        </w:rPr>
        <w:t xml:space="preserve"> tercih ediyor. Sergide</w:t>
      </w:r>
      <w:r w:rsidR="00B33AC8">
        <w:rPr>
          <w:rFonts w:eastAsia="Times New Roman" w:cs="Helvetica"/>
          <w:noProof/>
          <w:color w:val="000000"/>
          <w:szCs w:val="24"/>
          <w:lang w:eastAsia="tr-TR"/>
        </w:rPr>
        <w:t>;</w:t>
      </w:r>
      <w:r w:rsidRPr="005D7F7E">
        <w:rPr>
          <w:rFonts w:eastAsia="Times New Roman" w:cs="Helvetica"/>
          <w:noProof/>
          <w:color w:val="000000"/>
          <w:szCs w:val="24"/>
          <w:lang w:eastAsia="tr-TR"/>
        </w:rPr>
        <w:t xml:space="preserve"> kurgulanan transfer hatları, ticari bağlantılar, estetik ağlar ve seyahatlerin yansıması olarak Güney Asya’nın tarihsel birleşmeleri ve ayrışmaları göz önünde bulunduruluyor. Bangladeş ve Japonya arasında olduğu gibi, 1960’lardan günümüze uzanan uluslararası ve bölgelerarası etkileşimler tekrar inceleniyor.</w:t>
      </w:r>
      <w:r w:rsidR="001F63D1">
        <w:rPr>
          <w:rFonts w:eastAsia="Times New Roman" w:cs="Helvetica"/>
          <w:noProof/>
          <w:color w:val="000000"/>
          <w:szCs w:val="24"/>
          <w:lang w:eastAsia="tr-TR"/>
        </w:rPr>
        <w:br/>
      </w:r>
    </w:p>
    <w:p w:rsidR="00DD2499" w:rsidRPr="00FE70B6" w:rsidRDefault="00DD2499" w:rsidP="003D1F51">
      <w:pPr>
        <w:shd w:val="clear" w:color="auto" w:fill="FFFFFF"/>
        <w:spacing w:after="0" w:line="240" w:lineRule="auto"/>
        <w:rPr>
          <w:rFonts w:eastAsia="Times New Roman" w:cs="Helvetica"/>
          <w:noProof/>
          <w:color w:val="000000"/>
          <w:szCs w:val="24"/>
          <w:lang w:eastAsia="tr-TR"/>
        </w:rPr>
      </w:pPr>
    </w:p>
    <w:tbl>
      <w:tblPr>
        <w:tblStyle w:val="TableGrid"/>
        <w:tblW w:w="9351" w:type="dxa"/>
        <w:tblLook w:val="04A0" w:firstRow="1" w:lastRow="0" w:firstColumn="1" w:lastColumn="0" w:noHBand="0" w:noVBand="1"/>
      </w:tblPr>
      <w:tblGrid>
        <w:gridCol w:w="9351"/>
      </w:tblGrid>
      <w:tr w:rsidR="003D1F51" w:rsidRPr="00FE70B6" w:rsidTr="0003289B">
        <w:trPr>
          <w:trHeight w:val="116"/>
        </w:trPr>
        <w:tc>
          <w:tcPr>
            <w:tcW w:w="9351" w:type="dxa"/>
          </w:tcPr>
          <w:p w:rsidR="00DD2499" w:rsidRPr="00FE70B6" w:rsidRDefault="008B18AD" w:rsidP="000C51F3">
            <w:pPr>
              <w:rPr>
                <w:b/>
                <w:noProof/>
                <w:color w:val="000000"/>
                <w:sz w:val="20"/>
                <w:szCs w:val="20"/>
                <w:shd w:val="clear" w:color="auto" w:fill="FFFFFF"/>
              </w:rPr>
            </w:pPr>
            <w:r>
              <w:rPr>
                <w:b/>
                <w:noProof/>
                <w:color w:val="000000"/>
                <w:sz w:val="20"/>
                <w:szCs w:val="20"/>
                <w:shd w:val="clear" w:color="auto" w:fill="FFFFFF"/>
              </w:rPr>
              <w:t xml:space="preserve">Hera Büyüktaşçıyan </w:t>
            </w:r>
            <w:r w:rsidR="00DD2499" w:rsidRPr="00FE70B6">
              <w:rPr>
                <w:b/>
                <w:noProof/>
                <w:color w:val="000000"/>
                <w:sz w:val="20"/>
                <w:szCs w:val="20"/>
                <w:shd w:val="clear" w:color="auto" w:fill="FFFFFF"/>
              </w:rPr>
              <w:t>(198</w:t>
            </w:r>
            <w:r>
              <w:rPr>
                <w:b/>
                <w:noProof/>
                <w:color w:val="000000"/>
                <w:sz w:val="20"/>
                <w:szCs w:val="20"/>
                <w:shd w:val="clear" w:color="auto" w:fill="FFFFFF"/>
              </w:rPr>
              <w:t>4, İstanbul</w:t>
            </w:r>
            <w:r w:rsidR="00DD2499" w:rsidRPr="00FE70B6">
              <w:rPr>
                <w:b/>
                <w:noProof/>
                <w:color w:val="000000"/>
                <w:sz w:val="20"/>
                <w:szCs w:val="20"/>
                <w:shd w:val="clear" w:color="auto" w:fill="FFFFFF"/>
              </w:rPr>
              <w:t xml:space="preserve">) </w:t>
            </w:r>
          </w:p>
          <w:p w:rsidR="000C51F3" w:rsidRPr="00FE70B6" w:rsidRDefault="008B18AD" w:rsidP="00B33AC8">
            <w:pPr>
              <w:rPr>
                <w:rFonts w:eastAsia="Times New Roman" w:cs="Helvetica"/>
                <w:noProof/>
                <w:color w:val="000000"/>
                <w:sz w:val="24"/>
                <w:szCs w:val="24"/>
                <w:lang w:eastAsia="tr-TR"/>
              </w:rPr>
            </w:pPr>
            <w:r w:rsidRPr="008B18AD">
              <w:rPr>
                <w:noProof/>
                <w:color w:val="000000"/>
                <w:sz w:val="20"/>
                <w:szCs w:val="20"/>
                <w:shd w:val="clear" w:color="auto" w:fill="FFFFFF"/>
              </w:rPr>
              <w:t>Marmara Üniversitesi Güzel Sanatlar Fakültesi Resim Bölümü’nden 2006’da mezun olan Hera Büyüktaşçıyan</w:t>
            </w:r>
            <w:r>
              <w:rPr>
                <w:noProof/>
                <w:color w:val="000000"/>
                <w:sz w:val="20"/>
                <w:szCs w:val="20"/>
                <w:shd w:val="clear" w:color="auto" w:fill="FFFFFF"/>
              </w:rPr>
              <w:t>,</w:t>
            </w:r>
            <w:r w:rsidRPr="008B18AD">
              <w:rPr>
                <w:noProof/>
                <w:color w:val="000000"/>
                <w:sz w:val="20"/>
                <w:szCs w:val="20"/>
                <w:shd w:val="clear" w:color="auto" w:fill="FFFFFF"/>
              </w:rPr>
              <w:t xml:space="preserve"> işlerinde kimlik, hafıza, zaman ve mekân</w:t>
            </w:r>
            <w:r w:rsidR="0021044D">
              <w:rPr>
                <w:noProof/>
                <w:color w:val="000000"/>
                <w:sz w:val="20"/>
                <w:szCs w:val="20"/>
                <w:shd w:val="clear" w:color="auto" w:fill="FFFFFF"/>
              </w:rPr>
              <w:t>la</w:t>
            </w:r>
            <w:r w:rsidRPr="008B18AD">
              <w:rPr>
                <w:noProof/>
                <w:color w:val="000000"/>
                <w:sz w:val="20"/>
                <w:szCs w:val="20"/>
                <w:shd w:val="clear" w:color="auto" w:fill="FFFFFF"/>
              </w:rPr>
              <w:t xml:space="preserve"> hayali bir bağ kur</w:t>
            </w:r>
            <w:r w:rsidR="0021044D">
              <w:rPr>
                <w:noProof/>
                <w:color w:val="000000"/>
                <w:sz w:val="20"/>
                <w:szCs w:val="20"/>
                <w:shd w:val="clear" w:color="auto" w:fill="FFFFFF"/>
              </w:rPr>
              <w:t>mak amacıyla, öteki olma durumu</w:t>
            </w:r>
            <w:r w:rsidR="00B33AC8">
              <w:rPr>
                <w:noProof/>
                <w:color w:val="000000"/>
                <w:sz w:val="20"/>
                <w:szCs w:val="20"/>
                <w:shd w:val="clear" w:color="auto" w:fill="FFFFFF"/>
              </w:rPr>
              <w:t>,</w:t>
            </w:r>
            <w:r w:rsidRPr="008B18AD">
              <w:rPr>
                <w:noProof/>
                <w:color w:val="000000"/>
                <w:sz w:val="20"/>
                <w:szCs w:val="20"/>
                <w:shd w:val="clear" w:color="auto" w:fill="FFFFFF"/>
              </w:rPr>
              <w:t xml:space="preserve"> bulunmama ve görünmezlik kavramla</w:t>
            </w:r>
            <w:r>
              <w:rPr>
                <w:noProof/>
                <w:color w:val="000000"/>
                <w:sz w:val="20"/>
                <w:szCs w:val="20"/>
                <w:shd w:val="clear" w:color="auto" w:fill="FFFFFF"/>
              </w:rPr>
              <w:t>rı</w:t>
            </w:r>
            <w:r w:rsidR="0021044D">
              <w:rPr>
                <w:noProof/>
                <w:color w:val="000000"/>
                <w:sz w:val="20"/>
                <w:szCs w:val="20"/>
                <w:shd w:val="clear" w:color="auto" w:fill="FFFFFF"/>
              </w:rPr>
              <w:t>nı</w:t>
            </w:r>
            <w:r>
              <w:rPr>
                <w:noProof/>
                <w:color w:val="000000"/>
                <w:sz w:val="20"/>
                <w:szCs w:val="20"/>
                <w:shd w:val="clear" w:color="auto" w:fill="FFFFFF"/>
              </w:rPr>
              <w:t xml:space="preserve"> bir</w:t>
            </w:r>
            <w:r w:rsidR="00B33AC8">
              <w:rPr>
                <w:noProof/>
                <w:color w:val="000000"/>
                <w:sz w:val="20"/>
                <w:szCs w:val="20"/>
                <w:shd w:val="clear" w:color="auto" w:fill="FFFFFF"/>
              </w:rPr>
              <w:t xml:space="preserve"> </w:t>
            </w:r>
            <w:r>
              <w:rPr>
                <w:noProof/>
                <w:color w:val="000000"/>
                <w:sz w:val="20"/>
                <w:szCs w:val="20"/>
                <w:shd w:val="clear" w:color="auto" w:fill="FFFFFF"/>
              </w:rPr>
              <w:t>ara</w:t>
            </w:r>
            <w:r w:rsidR="0021044D">
              <w:rPr>
                <w:noProof/>
                <w:color w:val="000000"/>
                <w:sz w:val="20"/>
                <w:szCs w:val="20"/>
                <w:shd w:val="clear" w:color="auto" w:fill="FFFFFF"/>
              </w:rPr>
              <w:t xml:space="preserve">da </w:t>
            </w:r>
            <w:r>
              <w:rPr>
                <w:noProof/>
                <w:color w:val="000000"/>
                <w:sz w:val="20"/>
                <w:szCs w:val="20"/>
                <w:shd w:val="clear" w:color="auto" w:fill="FFFFFF"/>
              </w:rPr>
              <w:t>vurguluyor</w:t>
            </w:r>
            <w:r w:rsidRPr="008B18AD">
              <w:rPr>
                <w:noProof/>
                <w:color w:val="000000"/>
                <w:sz w:val="20"/>
                <w:szCs w:val="20"/>
                <w:shd w:val="clear" w:color="auto" w:fill="FFFFFF"/>
              </w:rPr>
              <w:t>. Yerel mitlerden, tarihi ve ikonografik unsurlardan yararlanarak, öteki için yeni bir anlatı olanağı oluşturu</w:t>
            </w:r>
            <w:r w:rsidR="00B33AC8">
              <w:rPr>
                <w:noProof/>
                <w:color w:val="000000"/>
                <w:sz w:val="20"/>
                <w:szCs w:val="20"/>
                <w:shd w:val="clear" w:color="auto" w:fill="FFFFFF"/>
              </w:rPr>
              <w:t>yo</w:t>
            </w:r>
            <w:r w:rsidRPr="008B18AD">
              <w:rPr>
                <w:noProof/>
                <w:color w:val="000000"/>
                <w:sz w:val="20"/>
                <w:szCs w:val="20"/>
                <w:shd w:val="clear" w:color="auto" w:fill="FFFFFF"/>
              </w:rPr>
              <w:t>r. Delfina Foundation, Londra (2014); Villa Waldberta, Münih (2012–13); AIRDrop, Stockholm (2012); PiST/// Disiplinlerarası Proje Alanı, İstanbul (2012); Ye­revan Arts and Cultural Studies Laboratory ACSL, Erivan (2011) misafir programlarında yer al</w:t>
            </w:r>
            <w:r w:rsidR="0021044D">
              <w:rPr>
                <w:noProof/>
                <w:color w:val="000000"/>
                <w:sz w:val="20"/>
                <w:szCs w:val="20"/>
                <w:shd w:val="clear" w:color="auto" w:fill="FFFFFF"/>
              </w:rPr>
              <w:t>an s</w:t>
            </w:r>
            <w:r w:rsidRPr="008B18AD">
              <w:rPr>
                <w:noProof/>
                <w:color w:val="000000"/>
                <w:sz w:val="20"/>
                <w:szCs w:val="20"/>
                <w:shd w:val="clear" w:color="auto" w:fill="FFFFFF"/>
              </w:rPr>
              <w:t>anatçı</w:t>
            </w:r>
            <w:r w:rsidR="0021044D">
              <w:rPr>
                <w:noProof/>
                <w:color w:val="000000"/>
                <w:sz w:val="20"/>
                <w:szCs w:val="20"/>
                <w:shd w:val="clear" w:color="auto" w:fill="FFFFFF"/>
              </w:rPr>
              <w:t>,</w:t>
            </w:r>
            <w:r w:rsidRPr="008B18AD">
              <w:rPr>
                <w:noProof/>
                <w:color w:val="000000"/>
                <w:sz w:val="20"/>
                <w:szCs w:val="20"/>
                <w:shd w:val="clear" w:color="auto" w:fill="FFFFFF"/>
              </w:rPr>
              <w:t xml:space="preserve"> İstanbul’da yaşıyor ve çalışıyor.</w:t>
            </w:r>
          </w:p>
        </w:tc>
      </w:tr>
    </w:tbl>
    <w:p w:rsidR="003D1F51" w:rsidRPr="00FE70B6" w:rsidRDefault="003D1F51" w:rsidP="003D1F51">
      <w:pPr>
        <w:shd w:val="clear" w:color="auto" w:fill="FFFFFF"/>
        <w:spacing w:after="0" w:line="240" w:lineRule="auto"/>
        <w:rPr>
          <w:rFonts w:eastAsia="Times New Roman" w:cs="Helvetica"/>
          <w:noProof/>
          <w:color w:val="000000"/>
          <w:sz w:val="24"/>
          <w:szCs w:val="24"/>
          <w:lang w:eastAsia="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34120" w:rsidRPr="00BE19BE" w:rsidTr="009B6E50">
        <w:trPr>
          <w:trHeight w:val="895"/>
        </w:trPr>
        <w:tc>
          <w:tcPr>
            <w:tcW w:w="9322" w:type="dxa"/>
            <w:shd w:val="clear" w:color="auto" w:fill="auto"/>
          </w:tcPr>
          <w:p w:rsidR="0021044D" w:rsidRDefault="0021044D" w:rsidP="0021044D">
            <w:pPr>
              <w:spacing w:after="0" w:line="240" w:lineRule="auto"/>
              <w:rPr>
                <w:b/>
                <w:sz w:val="20"/>
                <w:szCs w:val="20"/>
              </w:rPr>
            </w:pPr>
            <w:r w:rsidRPr="0021044D">
              <w:rPr>
                <w:b/>
                <w:sz w:val="20"/>
                <w:szCs w:val="20"/>
              </w:rPr>
              <w:t xml:space="preserve">Dhaka Art Summit </w:t>
            </w:r>
          </w:p>
          <w:p w:rsidR="0021044D" w:rsidRDefault="0021044D" w:rsidP="0021044D">
            <w:pPr>
              <w:spacing w:after="0" w:line="240" w:lineRule="auto"/>
              <w:rPr>
                <w:rFonts w:cs="Helvetica"/>
                <w:noProof/>
                <w:color w:val="000000"/>
                <w:sz w:val="20"/>
                <w:szCs w:val="20"/>
                <w:shd w:val="clear" w:color="auto" w:fill="FFFFFF"/>
              </w:rPr>
            </w:pPr>
            <w:r w:rsidRPr="0021044D">
              <w:rPr>
                <w:rFonts w:cs="Helvetica"/>
                <w:noProof/>
                <w:color w:val="000000"/>
                <w:sz w:val="20"/>
                <w:szCs w:val="20"/>
                <w:shd w:val="clear" w:color="auto" w:fill="FFFFFF"/>
              </w:rPr>
              <w:t xml:space="preserve">Dhaka </w:t>
            </w:r>
            <w:r w:rsidR="009542E1">
              <w:rPr>
                <w:rFonts w:cs="Helvetica"/>
                <w:noProof/>
                <w:color w:val="000000"/>
                <w:sz w:val="20"/>
                <w:szCs w:val="20"/>
                <w:shd w:val="clear" w:color="auto" w:fill="FFFFFF"/>
              </w:rPr>
              <w:t>Sanat Zirvesi</w:t>
            </w:r>
            <w:r w:rsidRPr="0021044D">
              <w:rPr>
                <w:rFonts w:cs="Helvetica"/>
                <w:noProof/>
                <w:color w:val="000000"/>
                <w:sz w:val="20"/>
                <w:szCs w:val="20"/>
                <w:shd w:val="clear" w:color="auto" w:fill="FFFFFF"/>
              </w:rPr>
              <w:t>, Güney Asya ile ilgili sanat ve mimarlık konuları üze</w:t>
            </w:r>
            <w:r w:rsidR="009542E1">
              <w:rPr>
                <w:rFonts w:cs="Helvetica"/>
                <w:noProof/>
                <w:color w:val="000000"/>
                <w:sz w:val="20"/>
                <w:szCs w:val="20"/>
                <w:shd w:val="clear" w:color="auto" w:fill="FFFFFF"/>
              </w:rPr>
              <w:t xml:space="preserve">rine kurulmuş, ticari olmayan, </w:t>
            </w:r>
            <w:r w:rsidRPr="0021044D">
              <w:rPr>
                <w:rFonts w:cs="Helvetica"/>
                <w:noProof/>
                <w:color w:val="000000"/>
                <w:sz w:val="20"/>
                <w:szCs w:val="20"/>
                <w:shd w:val="clear" w:color="auto" w:fill="FFFFFF"/>
              </w:rPr>
              <w:t>uluslararası</w:t>
            </w:r>
            <w:r w:rsidR="009542E1">
              <w:rPr>
                <w:rFonts w:cs="Helvetica"/>
                <w:noProof/>
                <w:color w:val="000000"/>
                <w:sz w:val="20"/>
                <w:szCs w:val="20"/>
                <w:shd w:val="clear" w:color="auto" w:fill="FFFFFF"/>
              </w:rPr>
              <w:t xml:space="preserve"> araştırma ve sergi platformu</w:t>
            </w:r>
            <w:r w:rsidRPr="0021044D">
              <w:rPr>
                <w:rFonts w:cs="Helvetica"/>
                <w:noProof/>
                <w:color w:val="000000"/>
                <w:sz w:val="20"/>
                <w:szCs w:val="20"/>
                <w:shd w:val="clear" w:color="auto" w:fill="FFFFFF"/>
              </w:rPr>
              <w:t xml:space="preserve">. Bangladeş’e odaklanan </w:t>
            </w:r>
            <w:r>
              <w:rPr>
                <w:rFonts w:cs="Helvetica"/>
                <w:noProof/>
                <w:color w:val="000000"/>
                <w:sz w:val="20"/>
                <w:szCs w:val="20"/>
                <w:shd w:val="clear" w:color="auto" w:fill="FFFFFF"/>
              </w:rPr>
              <w:t>zirve</w:t>
            </w:r>
            <w:r w:rsidRPr="0021044D">
              <w:rPr>
                <w:rFonts w:cs="Helvetica"/>
                <w:noProof/>
                <w:color w:val="000000"/>
                <w:sz w:val="20"/>
                <w:szCs w:val="20"/>
                <w:shd w:val="clear" w:color="auto" w:fill="FFFFFF"/>
              </w:rPr>
              <w:t>, bölgesel ve uluslararası bağlamda sanatın bu biçimlerini nasıl düşündüğümüzü yeniden incel</w:t>
            </w:r>
            <w:r w:rsidR="009542E1">
              <w:rPr>
                <w:rFonts w:cs="Helvetica"/>
                <w:noProof/>
                <w:color w:val="000000"/>
                <w:sz w:val="20"/>
                <w:szCs w:val="20"/>
                <w:shd w:val="clear" w:color="auto" w:fill="FFFFFF"/>
              </w:rPr>
              <w:t>iyor</w:t>
            </w:r>
            <w:r w:rsidRPr="0021044D">
              <w:rPr>
                <w:rFonts w:cs="Helvetica"/>
                <w:noProof/>
                <w:color w:val="000000"/>
                <w:sz w:val="20"/>
                <w:szCs w:val="20"/>
                <w:shd w:val="clear" w:color="auto" w:fill="FFFFFF"/>
              </w:rPr>
              <w:t xml:space="preserve">. Festivali düzenleyen kurum olarak işlevini sürdüren Samdani Art Foundation, 2012 yılında kuruldu. Dhaka </w:t>
            </w:r>
            <w:r>
              <w:rPr>
                <w:rFonts w:cs="Helvetica"/>
                <w:noProof/>
                <w:color w:val="000000"/>
                <w:sz w:val="20"/>
                <w:szCs w:val="20"/>
                <w:shd w:val="clear" w:color="auto" w:fill="FFFFFF"/>
              </w:rPr>
              <w:t>Art Summit</w:t>
            </w:r>
            <w:r w:rsidRPr="0021044D">
              <w:rPr>
                <w:rFonts w:cs="Helvetica"/>
                <w:noProof/>
                <w:color w:val="000000"/>
                <w:sz w:val="20"/>
                <w:szCs w:val="20"/>
                <w:shd w:val="clear" w:color="auto" w:fill="FFFFFF"/>
              </w:rPr>
              <w:t>, Bangladeş Halk Cumhuriyeti Kültür Bakanlığı ile işbirliği çerçevesinde, Bangladeş Shilpakala Akade</w:t>
            </w:r>
            <w:r>
              <w:rPr>
                <w:rFonts w:cs="Helvetica"/>
                <w:noProof/>
                <w:color w:val="000000"/>
                <w:sz w:val="20"/>
                <w:szCs w:val="20"/>
                <w:shd w:val="clear" w:color="auto" w:fill="FFFFFF"/>
              </w:rPr>
              <w:t>mi’de 2 yılda bir düzenleniyor.</w:t>
            </w:r>
          </w:p>
          <w:p w:rsidR="009542E1" w:rsidRPr="0021044D" w:rsidRDefault="009542E1" w:rsidP="0021044D">
            <w:pPr>
              <w:spacing w:after="0" w:line="240" w:lineRule="auto"/>
              <w:rPr>
                <w:rFonts w:cs="Helvetica"/>
                <w:noProof/>
                <w:color w:val="000000"/>
                <w:sz w:val="20"/>
                <w:szCs w:val="20"/>
                <w:shd w:val="clear" w:color="auto" w:fill="FFFFFF"/>
              </w:rPr>
            </w:pPr>
          </w:p>
          <w:p w:rsidR="002E046B" w:rsidRPr="00BE19BE" w:rsidRDefault="009542E1" w:rsidP="009542E1">
            <w:pPr>
              <w:spacing w:after="0" w:line="240" w:lineRule="auto"/>
              <w:rPr>
                <w:rFonts w:cs="Helvetica"/>
                <w:noProof/>
                <w:color w:val="000000"/>
                <w:sz w:val="20"/>
                <w:szCs w:val="20"/>
                <w:shd w:val="clear" w:color="auto" w:fill="FFFFFF"/>
              </w:rPr>
            </w:pPr>
            <w:r>
              <w:rPr>
                <w:rFonts w:cs="Helvetica"/>
                <w:noProof/>
                <w:color w:val="000000"/>
                <w:sz w:val="20"/>
                <w:szCs w:val="20"/>
                <w:shd w:val="clear" w:color="auto" w:fill="FFFFFF"/>
              </w:rPr>
              <w:t>Zirve; s</w:t>
            </w:r>
            <w:r w:rsidR="0021044D" w:rsidRPr="0021044D">
              <w:rPr>
                <w:rFonts w:cs="Helvetica"/>
                <w:noProof/>
                <w:color w:val="000000"/>
                <w:sz w:val="20"/>
                <w:szCs w:val="20"/>
                <w:shd w:val="clear" w:color="auto" w:fill="FFFFFF"/>
              </w:rPr>
              <w:t>anat ve etkileşim için daha üretken bir alan yaratmak amacıyla</w:t>
            </w:r>
            <w:r>
              <w:rPr>
                <w:rFonts w:cs="Helvetica"/>
                <w:noProof/>
                <w:color w:val="000000"/>
                <w:sz w:val="20"/>
                <w:szCs w:val="20"/>
                <w:shd w:val="clear" w:color="auto" w:fill="FFFFFF"/>
              </w:rPr>
              <w:t>,</w:t>
            </w:r>
            <w:r w:rsidR="0021044D" w:rsidRPr="0021044D">
              <w:rPr>
                <w:rFonts w:cs="Helvetica"/>
                <w:noProof/>
                <w:color w:val="000000"/>
                <w:sz w:val="20"/>
                <w:szCs w:val="20"/>
                <w:shd w:val="clear" w:color="auto" w:fill="FFFFFF"/>
              </w:rPr>
              <w:t xml:space="preserve"> geleneksel bienal formatını reddede</w:t>
            </w:r>
            <w:r w:rsidR="0021044D">
              <w:rPr>
                <w:rFonts w:cs="Helvetica"/>
                <w:noProof/>
                <w:color w:val="000000"/>
                <w:sz w:val="20"/>
                <w:szCs w:val="20"/>
                <w:shd w:val="clear" w:color="auto" w:fill="FFFFFF"/>
              </w:rPr>
              <w:t>rek</w:t>
            </w:r>
            <w:r w:rsidR="0021044D" w:rsidRPr="0021044D">
              <w:rPr>
                <w:rFonts w:cs="Helvetica"/>
                <w:noProof/>
                <w:color w:val="000000"/>
                <w:sz w:val="20"/>
                <w:szCs w:val="20"/>
                <w:shd w:val="clear" w:color="auto" w:fill="FFFFFF"/>
              </w:rPr>
              <w:t xml:space="preserve"> Güney Asya’nın çağdaş ve tarihi yaratıcı topluluğunu ilerletmek ve destekleme</w:t>
            </w:r>
            <w:r>
              <w:rPr>
                <w:rFonts w:cs="Helvetica"/>
                <w:noProof/>
                <w:color w:val="000000"/>
                <w:sz w:val="20"/>
                <w:szCs w:val="20"/>
                <w:shd w:val="clear" w:color="auto" w:fill="FFFFFF"/>
              </w:rPr>
              <w:t>ye</w:t>
            </w:r>
            <w:r w:rsidR="0021044D" w:rsidRPr="0021044D">
              <w:rPr>
                <w:rFonts w:cs="Helvetica"/>
                <w:noProof/>
                <w:color w:val="000000"/>
                <w:sz w:val="20"/>
                <w:szCs w:val="20"/>
                <w:shd w:val="clear" w:color="auto" w:fill="FFFFFF"/>
              </w:rPr>
              <w:t xml:space="preserve"> yoğunlaş</w:t>
            </w:r>
            <w:r w:rsidR="0021044D">
              <w:rPr>
                <w:rFonts w:cs="Helvetica"/>
                <w:noProof/>
                <w:color w:val="000000"/>
                <w:sz w:val="20"/>
                <w:szCs w:val="20"/>
                <w:shd w:val="clear" w:color="auto" w:fill="FFFFFF"/>
              </w:rPr>
              <w:t>ıyor.</w:t>
            </w:r>
            <w:r w:rsidR="0021044D">
              <w:t xml:space="preserve"> </w:t>
            </w:r>
            <w:r w:rsidR="0021044D">
              <w:rPr>
                <w:rFonts w:cs="Helvetica"/>
                <w:noProof/>
                <w:color w:val="000000"/>
                <w:sz w:val="20"/>
                <w:szCs w:val="20"/>
                <w:shd w:val="clear" w:color="auto" w:fill="FFFFFF"/>
              </w:rPr>
              <w:t>Dhaka Sanat Zirvesi,  ö</w:t>
            </w:r>
            <w:r w:rsidR="0021044D" w:rsidRPr="0021044D">
              <w:rPr>
                <w:rFonts w:cs="Helvetica"/>
                <w:noProof/>
                <w:color w:val="000000"/>
                <w:sz w:val="20"/>
                <w:szCs w:val="20"/>
                <w:shd w:val="clear" w:color="auto" w:fill="FFFFFF"/>
              </w:rPr>
              <w:t>nde gelen kurumlardan yerel ve uluslararası misafir küratörler, Güney Asya coğrafyasında araştırma yapmak, yeni alanlar açmak, işbirlikçi grup sergileri ve deneysel yazı inisiyatiflerinin yanı sıra</w:t>
            </w:r>
            <w:r>
              <w:rPr>
                <w:rFonts w:cs="Helvetica"/>
                <w:noProof/>
                <w:color w:val="000000"/>
                <w:sz w:val="20"/>
                <w:szCs w:val="20"/>
                <w:shd w:val="clear" w:color="auto" w:fill="FFFFFF"/>
              </w:rPr>
              <w:t>,</w:t>
            </w:r>
            <w:r w:rsidR="0021044D" w:rsidRPr="0021044D">
              <w:rPr>
                <w:rFonts w:cs="Helvetica"/>
                <w:noProof/>
                <w:color w:val="000000"/>
                <w:sz w:val="20"/>
                <w:szCs w:val="20"/>
                <w:shd w:val="clear" w:color="auto" w:fill="FFFFFF"/>
              </w:rPr>
              <w:t xml:space="preserve"> film ve konuşma programları kurmak ve düzenlemek </w:t>
            </w:r>
            <w:r>
              <w:rPr>
                <w:rFonts w:cs="Helvetica"/>
                <w:noProof/>
                <w:color w:val="000000"/>
                <w:sz w:val="20"/>
                <w:szCs w:val="20"/>
                <w:shd w:val="clear" w:color="auto" w:fill="FFFFFF"/>
              </w:rPr>
              <w:t>amacıyla, Baş</w:t>
            </w:r>
            <w:r w:rsidR="0021044D" w:rsidRPr="0021044D">
              <w:rPr>
                <w:rFonts w:cs="Helvetica"/>
                <w:noProof/>
                <w:color w:val="000000"/>
                <w:sz w:val="20"/>
                <w:szCs w:val="20"/>
                <w:shd w:val="clear" w:color="auto" w:fill="FFFFFF"/>
              </w:rPr>
              <w:t xml:space="preserve">kürator Diana Campbell Betancourt önderliğinde </w:t>
            </w:r>
            <w:r w:rsidR="0021044D">
              <w:rPr>
                <w:rFonts w:cs="Helvetica"/>
                <w:noProof/>
                <w:color w:val="000000"/>
                <w:sz w:val="20"/>
                <w:szCs w:val="20"/>
                <w:shd w:val="clear" w:color="auto" w:fill="FFFFFF"/>
              </w:rPr>
              <w:t>yönetiliyor.</w:t>
            </w:r>
          </w:p>
        </w:tc>
      </w:tr>
    </w:tbl>
    <w:p w:rsidR="00FE70B6" w:rsidRPr="00FE70B6" w:rsidRDefault="00FE70B6" w:rsidP="00934120">
      <w:pPr>
        <w:spacing w:after="0" w:line="240" w:lineRule="auto"/>
        <w:jc w:val="both"/>
        <w:rPr>
          <w:rFonts w:cs="Times New Roman"/>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E70B6" w:rsidRPr="00FE70B6" w:rsidTr="00FE70B6">
        <w:trPr>
          <w:trHeight w:val="895"/>
        </w:trPr>
        <w:tc>
          <w:tcPr>
            <w:tcW w:w="9322" w:type="dxa"/>
            <w:tcBorders>
              <w:top w:val="single" w:sz="4" w:space="0" w:color="auto"/>
              <w:left w:val="single" w:sz="4" w:space="0" w:color="auto"/>
              <w:bottom w:val="single" w:sz="4" w:space="0" w:color="auto"/>
              <w:right w:val="single" w:sz="4" w:space="0" w:color="auto"/>
            </w:tcBorders>
            <w:hideMark/>
          </w:tcPr>
          <w:p w:rsidR="00FE70B6" w:rsidRPr="00FE70B6" w:rsidRDefault="00FE70B6">
            <w:pPr>
              <w:spacing w:after="0" w:line="240" w:lineRule="auto"/>
              <w:rPr>
                <w:rFonts w:cs="Helvetica"/>
                <w:noProof/>
                <w:color w:val="000000"/>
                <w:sz w:val="20"/>
                <w:szCs w:val="24"/>
                <w:shd w:val="clear" w:color="auto" w:fill="FFFFFF"/>
              </w:rPr>
            </w:pPr>
            <w:r w:rsidRPr="00FE70B6">
              <w:rPr>
                <w:rFonts w:cs="Helvetica"/>
                <w:b/>
                <w:noProof/>
                <w:color w:val="000000"/>
                <w:sz w:val="20"/>
                <w:szCs w:val="24"/>
                <w:shd w:val="clear" w:color="auto" w:fill="FFFFFF"/>
              </w:rPr>
              <w:t>SAHA Derneği</w:t>
            </w:r>
            <w:r w:rsidRPr="00FE70B6">
              <w:rPr>
                <w:rFonts w:cs="Helvetica"/>
                <w:noProof/>
                <w:color w:val="000000"/>
                <w:sz w:val="20"/>
                <w:szCs w:val="24"/>
                <w:shd w:val="clear" w:color="auto" w:fill="FFFFFF"/>
              </w:rPr>
              <w:b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FE70B6" w:rsidRPr="00FE70B6" w:rsidRDefault="00FE70B6" w:rsidP="00934120">
      <w:pPr>
        <w:spacing w:after="0" w:line="240" w:lineRule="auto"/>
        <w:jc w:val="both"/>
        <w:rPr>
          <w:rFonts w:cs="Times New Roman"/>
          <w:noProof/>
        </w:rPr>
      </w:pPr>
    </w:p>
    <w:p w:rsidR="00FC14BB" w:rsidRPr="00FE70B6" w:rsidRDefault="003E4E3E" w:rsidP="003D1F51">
      <w:pPr>
        <w:spacing w:after="0" w:line="240" w:lineRule="auto"/>
        <w:jc w:val="center"/>
        <w:rPr>
          <w:rFonts w:eastAsia="Times" w:cs="Times New Roman"/>
          <w:noProof/>
          <w:color w:val="0000FF"/>
          <w:sz w:val="20"/>
          <w:szCs w:val="20"/>
          <w:u w:val="single"/>
        </w:rPr>
      </w:pPr>
      <w:hyperlink r:id="rId5" w:history="1">
        <w:r w:rsidR="00FC14BB" w:rsidRPr="00FE70B6">
          <w:rPr>
            <w:rFonts w:eastAsia="Times" w:cs="Times New Roman"/>
            <w:noProof/>
            <w:color w:val="0000FF"/>
            <w:sz w:val="20"/>
            <w:szCs w:val="20"/>
            <w:u w:val="single"/>
          </w:rPr>
          <w:t>www.saha.org.tr</w:t>
        </w:r>
      </w:hyperlink>
    </w:p>
    <w:p w:rsidR="00FC14BB" w:rsidRPr="00FE70B6" w:rsidRDefault="003E4E3E" w:rsidP="003D1F51">
      <w:pPr>
        <w:spacing w:after="0" w:line="240" w:lineRule="auto"/>
        <w:jc w:val="center"/>
        <w:rPr>
          <w:rFonts w:eastAsia="Times" w:cs="Times New Roman"/>
          <w:noProof/>
          <w:sz w:val="20"/>
          <w:szCs w:val="20"/>
        </w:rPr>
      </w:pPr>
      <w:hyperlink r:id="rId6" w:history="1">
        <w:r w:rsidR="00FC14BB" w:rsidRPr="00FE70B6">
          <w:rPr>
            <w:rFonts w:eastAsia="Times" w:cs="Times New Roman"/>
            <w:noProof/>
            <w:color w:val="0000FF"/>
            <w:sz w:val="20"/>
            <w:szCs w:val="20"/>
            <w:u w:val="single"/>
          </w:rPr>
          <w:t>facebook.com/SAHA-Dernegi</w:t>
        </w:r>
      </w:hyperlink>
    </w:p>
    <w:p w:rsidR="00FC14BB" w:rsidRPr="00FE70B6" w:rsidRDefault="003E4E3E" w:rsidP="003D1F51">
      <w:pPr>
        <w:spacing w:after="0" w:line="240" w:lineRule="auto"/>
        <w:jc w:val="center"/>
        <w:rPr>
          <w:rFonts w:eastAsia="Times" w:cs="Times New Roman"/>
          <w:noProof/>
          <w:sz w:val="20"/>
          <w:szCs w:val="20"/>
        </w:rPr>
      </w:pPr>
      <w:hyperlink r:id="rId7" w:history="1">
        <w:r w:rsidR="00FC14BB" w:rsidRPr="00FE70B6">
          <w:rPr>
            <w:rFonts w:eastAsia="Times" w:cs="Times New Roman"/>
            <w:noProof/>
            <w:color w:val="0000FF"/>
            <w:sz w:val="20"/>
            <w:szCs w:val="20"/>
            <w:u w:val="single"/>
          </w:rPr>
          <w:t>twitter.com/SAHA</w:t>
        </w:r>
      </w:hyperlink>
    </w:p>
    <w:p w:rsidR="004A6C11" w:rsidRPr="00FE70B6" w:rsidRDefault="004A6C11" w:rsidP="003D1F51">
      <w:pPr>
        <w:spacing w:after="0" w:line="240" w:lineRule="auto"/>
        <w:rPr>
          <w:noProof/>
          <w:sz w:val="24"/>
          <w:szCs w:val="24"/>
        </w:rPr>
      </w:pPr>
    </w:p>
    <w:sectPr w:rsidR="004A6C11" w:rsidRPr="00FE70B6"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3289B"/>
    <w:rsid w:val="0004678A"/>
    <w:rsid w:val="00060ABA"/>
    <w:rsid w:val="000C2C0D"/>
    <w:rsid w:val="000C51F3"/>
    <w:rsid w:val="00102344"/>
    <w:rsid w:val="00124685"/>
    <w:rsid w:val="00144C61"/>
    <w:rsid w:val="001755DA"/>
    <w:rsid w:val="001B094D"/>
    <w:rsid w:val="001F63D1"/>
    <w:rsid w:val="0021044D"/>
    <w:rsid w:val="002675EC"/>
    <w:rsid w:val="00283549"/>
    <w:rsid w:val="0028367E"/>
    <w:rsid w:val="002A3DCC"/>
    <w:rsid w:val="002D7170"/>
    <w:rsid w:val="002E046B"/>
    <w:rsid w:val="00325665"/>
    <w:rsid w:val="0034679F"/>
    <w:rsid w:val="003A792A"/>
    <w:rsid w:val="003D1F51"/>
    <w:rsid w:val="003E4E3E"/>
    <w:rsid w:val="003E63B1"/>
    <w:rsid w:val="00443688"/>
    <w:rsid w:val="004A6C11"/>
    <w:rsid w:val="004E710A"/>
    <w:rsid w:val="004F2253"/>
    <w:rsid w:val="005767E9"/>
    <w:rsid w:val="005970EF"/>
    <w:rsid w:val="005D7F7E"/>
    <w:rsid w:val="005E7173"/>
    <w:rsid w:val="00620960"/>
    <w:rsid w:val="00664FE8"/>
    <w:rsid w:val="00693836"/>
    <w:rsid w:val="006C15E2"/>
    <w:rsid w:val="006E2F7E"/>
    <w:rsid w:val="00721144"/>
    <w:rsid w:val="007502D7"/>
    <w:rsid w:val="007F32F4"/>
    <w:rsid w:val="008342E5"/>
    <w:rsid w:val="008677E1"/>
    <w:rsid w:val="008B18AD"/>
    <w:rsid w:val="008B6FDF"/>
    <w:rsid w:val="008E0AF5"/>
    <w:rsid w:val="008E4C81"/>
    <w:rsid w:val="008E7524"/>
    <w:rsid w:val="00914398"/>
    <w:rsid w:val="00934120"/>
    <w:rsid w:val="00943AEF"/>
    <w:rsid w:val="00946F51"/>
    <w:rsid w:val="009542E1"/>
    <w:rsid w:val="00995701"/>
    <w:rsid w:val="009A1208"/>
    <w:rsid w:val="009F401A"/>
    <w:rsid w:val="00A16CE6"/>
    <w:rsid w:val="00A71C50"/>
    <w:rsid w:val="00AB0D01"/>
    <w:rsid w:val="00AB3298"/>
    <w:rsid w:val="00AD30F7"/>
    <w:rsid w:val="00B33AC8"/>
    <w:rsid w:val="00BB09C0"/>
    <w:rsid w:val="00BC7F1E"/>
    <w:rsid w:val="00BD3578"/>
    <w:rsid w:val="00BE19BE"/>
    <w:rsid w:val="00BE2DBF"/>
    <w:rsid w:val="00C4302C"/>
    <w:rsid w:val="00CA2097"/>
    <w:rsid w:val="00D261E1"/>
    <w:rsid w:val="00D326A4"/>
    <w:rsid w:val="00D94A14"/>
    <w:rsid w:val="00DA11F8"/>
    <w:rsid w:val="00DA2971"/>
    <w:rsid w:val="00DD2499"/>
    <w:rsid w:val="00E11BA3"/>
    <w:rsid w:val="00E13C84"/>
    <w:rsid w:val="00F405B9"/>
    <w:rsid w:val="00F47DF5"/>
    <w:rsid w:val="00F61998"/>
    <w:rsid w:val="00FB271D"/>
    <w:rsid w:val="00FC14BB"/>
    <w:rsid w:val="00FE70B6"/>
    <w:rsid w:val="00FF080A"/>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997">
      <w:bodyDiv w:val="1"/>
      <w:marLeft w:val="0"/>
      <w:marRight w:val="0"/>
      <w:marTop w:val="0"/>
      <w:marBottom w:val="0"/>
      <w:divBdr>
        <w:top w:val="none" w:sz="0" w:space="0" w:color="auto"/>
        <w:left w:val="none" w:sz="0" w:space="0" w:color="auto"/>
        <w:bottom w:val="none" w:sz="0" w:space="0" w:color="auto"/>
        <w:right w:val="none" w:sz="0" w:space="0" w:color="auto"/>
      </w:divBdr>
    </w:div>
    <w:div w:id="18971489">
      <w:bodyDiv w:val="1"/>
      <w:marLeft w:val="0"/>
      <w:marRight w:val="0"/>
      <w:marTop w:val="0"/>
      <w:marBottom w:val="0"/>
      <w:divBdr>
        <w:top w:val="none" w:sz="0" w:space="0" w:color="auto"/>
        <w:left w:val="none" w:sz="0" w:space="0" w:color="auto"/>
        <w:bottom w:val="none" w:sz="0" w:space="0" w:color="auto"/>
        <w:right w:val="none" w:sz="0" w:space="0" w:color="auto"/>
      </w:divBdr>
    </w:div>
    <w:div w:id="90707341">
      <w:bodyDiv w:val="1"/>
      <w:marLeft w:val="0"/>
      <w:marRight w:val="0"/>
      <w:marTop w:val="0"/>
      <w:marBottom w:val="0"/>
      <w:divBdr>
        <w:top w:val="none" w:sz="0" w:space="0" w:color="auto"/>
        <w:left w:val="none" w:sz="0" w:space="0" w:color="auto"/>
        <w:bottom w:val="none" w:sz="0" w:space="0" w:color="auto"/>
        <w:right w:val="none" w:sz="0" w:space="0" w:color="auto"/>
      </w:divBdr>
    </w:div>
    <w:div w:id="208911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606</Words>
  <Characters>3455</Characters>
  <Application>Microsoft Office Word</Application>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10</cp:revision>
  <dcterms:created xsi:type="dcterms:W3CDTF">2018-02-08T11:23:00Z</dcterms:created>
  <dcterms:modified xsi:type="dcterms:W3CDTF">2018-02-09T09:45:00Z</dcterms:modified>
</cp:coreProperties>
</file>